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E5085" w:rsidRDefault="003E5085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E5085" w:rsidRPr="004A1C28" w:rsidRDefault="003E5085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3E5085" w:rsidRDefault="003E5085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DF6F6A" w:rsidP="008604BA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 w:rsidR="00066400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B4432" w:rsidRPr="001B4432" w:rsidRDefault="001B4432" w:rsidP="008604BA">
      <w:pPr>
        <w:pStyle w:val="Nzev"/>
        <w:spacing w:before="240" w:after="120" w:line="276" w:lineRule="auto"/>
        <w:jc w:val="both"/>
        <w:rPr>
          <w:rFonts w:ascii="Palatino Linotype" w:hAnsi="Palatino Linotype"/>
          <w:caps/>
          <w:sz w:val="22"/>
          <w:szCs w:val="22"/>
          <w:u w:val="none"/>
        </w:rPr>
      </w:pPr>
      <w:r w:rsidRPr="001B4432">
        <w:rPr>
          <w:rFonts w:ascii="Palatino Linotype" w:hAnsi="Palatino Linotype"/>
          <w:sz w:val="22"/>
          <w:szCs w:val="22"/>
          <w:highlight w:val="cyan"/>
          <w:u w:val="none"/>
        </w:rPr>
        <w:t>Varianta – posouzení podmínek kvalifikace</w:t>
      </w:r>
    </w:p>
    <w:p w:rsidR="001C50BE" w:rsidRPr="00F95F5F" w:rsidRDefault="001C50BE" w:rsidP="008604BA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 xml:space="preserve">PROTOKOL Z JEDNÁNÍ </w:t>
      </w:r>
      <w:r w:rsidR="008604BA">
        <w:rPr>
          <w:rFonts w:ascii="Palatino Linotype" w:hAnsi="Palatino Linotype"/>
          <w:caps/>
          <w:sz w:val="24"/>
          <w:szCs w:val="24"/>
          <w:highlight w:val="yellow"/>
        </w:rPr>
        <w:t>HODNOTICÍ KOMISE</w:t>
      </w:r>
      <w:r w:rsidRPr="001C50BE">
        <w:rPr>
          <w:rFonts w:ascii="Palatino Linotype" w:hAnsi="Palatino Linotype"/>
          <w:caps/>
          <w:sz w:val="24"/>
          <w:szCs w:val="24"/>
          <w:highlight w:val="yellow"/>
        </w:rPr>
        <w:t>/komise pro posouzení kvaliFikace</w:t>
      </w:r>
    </w:p>
    <w:p w:rsidR="001C50BE" w:rsidRPr="00D60154" w:rsidRDefault="001C50BE" w:rsidP="008604BA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__. ____</w:t>
      </w:r>
    </w:p>
    <w:p w:rsidR="001C50BE" w:rsidRDefault="008604BA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Hodnoticí komise/</w:t>
      </w:r>
      <w:r w:rsidR="001C50BE" w:rsidRPr="001C50BE">
        <w:rPr>
          <w:rFonts w:ascii="Palatino Linotype" w:hAnsi="Palatino Linotype"/>
          <w:sz w:val="22"/>
          <w:szCs w:val="22"/>
          <w:highlight w:val="yellow"/>
        </w:rPr>
        <w:t>komise pro posouzení kvalifikace</w:t>
      </w:r>
      <w:r w:rsidR="001C50BE"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="001C50BE" w:rsidRPr="001539F4">
        <w:rPr>
          <w:rFonts w:ascii="Palatino Linotype" w:hAnsi="Palatino Linotype"/>
          <w:i/>
          <w:sz w:val="22"/>
          <w:szCs w:val="22"/>
        </w:rPr>
        <w:t>komise</w:t>
      </w:r>
      <w:r w:rsidR="001C50BE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1C50BE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1C50BE" w:rsidRPr="001539F4">
        <w:rPr>
          <w:rFonts w:ascii="Palatino Linotype" w:hAnsi="Palatino Linotype"/>
          <w:sz w:val="22"/>
          <w:szCs w:val="22"/>
        </w:rPr>
        <w:t xml:space="preserve"> jednání vztahujícím</w:t>
      </w:r>
      <w:bookmarkStart w:id="3" w:name="_GoBack"/>
      <w:bookmarkEnd w:id="3"/>
      <w:r w:rsidR="001C50BE" w:rsidRPr="001539F4">
        <w:rPr>
          <w:rFonts w:ascii="Palatino Linotype" w:hAnsi="Palatino Linotype"/>
          <w:sz w:val="22"/>
          <w:szCs w:val="22"/>
        </w:rPr>
        <w:t xml:space="preserve"> se k výše uvedené veřejné zakázce, zadávané v </w:t>
      </w:r>
      <w:r w:rsidR="001C50BE">
        <w:rPr>
          <w:rFonts w:ascii="Palatino Linotype" w:hAnsi="Palatino Linotype"/>
          <w:sz w:val="22"/>
          <w:szCs w:val="22"/>
        </w:rPr>
        <w:t>užším</w:t>
      </w:r>
      <w:r w:rsidR="001C50BE" w:rsidRPr="001539F4">
        <w:rPr>
          <w:rFonts w:ascii="Palatino Linotype" w:hAnsi="Palatino Linotype"/>
          <w:sz w:val="22"/>
          <w:szCs w:val="22"/>
        </w:rPr>
        <w:t xml:space="preserve"> řízení podle </w:t>
      </w:r>
      <w:proofErr w:type="spellStart"/>
      <w:r w:rsidR="001C50BE" w:rsidRPr="001539F4">
        <w:rPr>
          <w:rFonts w:ascii="Palatino Linotype" w:hAnsi="Palatino Linotype"/>
          <w:sz w:val="22"/>
          <w:szCs w:val="22"/>
        </w:rPr>
        <w:t>ust</w:t>
      </w:r>
      <w:proofErr w:type="spellEnd"/>
      <w:r w:rsidR="001C50BE" w:rsidRPr="001539F4">
        <w:rPr>
          <w:rFonts w:ascii="Palatino Linotype" w:hAnsi="Palatino Linotype"/>
          <w:sz w:val="22"/>
          <w:szCs w:val="22"/>
        </w:rPr>
        <w:t>. § </w:t>
      </w:r>
      <w:r w:rsidR="001C50BE">
        <w:rPr>
          <w:rFonts w:ascii="Palatino Linotype" w:hAnsi="Palatino Linotype"/>
          <w:sz w:val="22"/>
          <w:szCs w:val="22"/>
        </w:rPr>
        <w:t>58 ZZVZ</w:t>
      </w:r>
      <w:r w:rsidR="001C50BE"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1C50BE" w:rsidRPr="001539F4" w:rsidRDefault="001C50BE" w:rsidP="008604BA">
      <w:pPr>
        <w:numPr>
          <w:ilvl w:val="0"/>
          <w:numId w:val="8"/>
        </w:num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1C50BE" w:rsidRPr="001539F4" w:rsidRDefault="001C50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Pr="007933B1">
        <w:rPr>
          <w:rFonts w:ascii="Palatino Linotype" w:hAnsi="Palatino Linotype"/>
          <w:sz w:val="22"/>
          <w:szCs w:val="22"/>
          <w:highlight w:val="yellow"/>
        </w:rPr>
        <w:t>č. usnesení Rady HMP …</w:t>
      </w:r>
      <w:proofErr w:type="gramStart"/>
      <w:r w:rsidRPr="007933B1">
        <w:rPr>
          <w:rFonts w:ascii="Palatino Linotype" w:hAnsi="Palatino Linotype"/>
          <w:sz w:val="22"/>
          <w:szCs w:val="22"/>
          <w:highlight w:val="yellow"/>
        </w:rPr>
        <w:t>….. ze</w:t>
      </w:r>
      <w:proofErr w:type="gramEnd"/>
      <w:r w:rsidRPr="007933B1">
        <w:rPr>
          <w:rFonts w:ascii="Palatino Linotype" w:hAnsi="Palatino Linotype"/>
          <w:sz w:val="22"/>
          <w:szCs w:val="22"/>
          <w:highlight w:val="yellow"/>
        </w:rPr>
        <w:t xml:space="preserve"> 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8604BA">
        <w:rPr>
          <w:rFonts w:ascii="Palatino Linotype" w:hAnsi="Palatino Linotype"/>
          <w:sz w:val="22"/>
          <w:szCs w:val="22"/>
          <w:highlight w:val="yellow"/>
        </w:rPr>
        <w:t>,</w:t>
      </w:r>
      <w:r w:rsidRPr="007933B1">
        <w:rPr>
          <w:rFonts w:ascii="Palatino Linotype" w:hAnsi="Palatino Linotype"/>
          <w:sz w:val="22"/>
          <w:szCs w:val="22"/>
          <w:highlight w:val="yellow"/>
        </w:rPr>
        <w:t>/na základě rozhodnutí ředitele</w:t>
      </w:r>
      <w:r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</w:rPr>
        <w:t>,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1C50BE" w:rsidRPr="001539F4" w:rsidTr="001C50BE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391"/>
        </w:trPr>
        <w:tc>
          <w:tcPr>
            <w:tcW w:w="9072" w:type="dxa"/>
            <w:vAlign w:val="center"/>
          </w:tcPr>
          <w:p w:rsidR="001C50BE" w:rsidRPr="001539F4" w:rsidRDefault="001C50B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C50BE" w:rsidRDefault="001C50BE" w:rsidP="008604BA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8604BA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>náhradníků, čímž byla splněna podmínka přítomno</w:t>
      </w:r>
      <w:r w:rsidR="008604BA">
        <w:rPr>
          <w:rFonts w:ascii="Palatino Linotype" w:hAnsi="Palatino Linotype"/>
          <w:sz w:val="22"/>
          <w:szCs w:val="22"/>
        </w:rPr>
        <w:t>sti více jak dvou třetin členů</w:t>
      </w:r>
      <w:r w:rsidRPr="001539F4">
        <w:rPr>
          <w:rFonts w:ascii="Palatino Linotype" w:hAnsi="Palatino Linotype"/>
          <w:sz w:val="22"/>
          <w:szCs w:val="22"/>
        </w:rPr>
        <w:t>/náhradníků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1C50BE" w:rsidRPr="00AA52E8" w:rsidRDefault="001C50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1C50BE" w:rsidRPr="00A53BC9" w:rsidRDefault="001C50BE" w:rsidP="008604BA">
      <w:pPr>
        <w:keepNext/>
        <w:numPr>
          <w:ilvl w:val="0"/>
          <w:numId w:val="8"/>
        </w:numPr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1C50BE" w:rsidRDefault="008604BA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</w:t>
      </w:r>
      <w:r w:rsidR="001C50BE">
        <w:rPr>
          <w:rFonts w:ascii="Palatino Linotype" w:hAnsi="Palatino Linotype"/>
          <w:sz w:val="22"/>
          <w:szCs w:val="22"/>
        </w:rPr>
        <w:t>náhradníci členů komise</w:t>
      </w:r>
      <w:r w:rsidR="001C50BE" w:rsidRPr="00AA52E8">
        <w:rPr>
          <w:rFonts w:ascii="Palatino Linotype" w:hAnsi="Palatino Linotype"/>
          <w:sz w:val="22"/>
          <w:szCs w:val="22"/>
        </w:rPr>
        <w:t>/</w:t>
      </w:r>
      <w:proofErr w:type="gramStart"/>
      <w:r w:rsidR="001C50BE" w:rsidRPr="00AA52E8">
        <w:rPr>
          <w:rFonts w:ascii="Palatino Linotype" w:hAnsi="Palatino Linotype"/>
          <w:sz w:val="22"/>
          <w:szCs w:val="22"/>
        </w:rPr>
        <w:t>…</w:t>
      </w:r>
      <w:proofErr w:type="gramEnd"/>
      <w:r w:rsidR="001C50BE" w:rsidRPr="00AA52E8">
        <w:rPr>
          <w:rFonts w:ascii="Palatino Linotype" w:hAnsi="Palatino Linotype"/>
          <w:sz w:val="22"/>
          <w:szCs w:val="22"/>
        </w:rPr>
        <w:t>.</w:t>
      </w:r>
      <w:proofErr w:type="gramStart"/>
      <w:r w:rsidR="001C50BE"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="001C50BE"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="001C50BE" w:rsidRPr="001539F4">
        <w:rPr>
          <w:rFonts w:ascii="Palatino Linotype" w:hAnsi="Palatino Linotype"/>
          <w:sz w:val="22"/>
          <w:szCs w:val="22"/>
        </w:rPr>
        <w:t xml:space="preserve"> byli seznámeni se seznamem podaných </w:t>
      </w:r>
      <w:r w:rsidR="001C50BE">
        <w:rPr>
          <w:rFonts w:ascii="Palatino Linotype" w:hAnsi="Palatino Linotype"/>
          <w:sz w:val="22"/>
          <w:szCs w:val="22"/>
        </w:rPr>
        <w:t>žádostí o účast</w:t>
      </w:r>
      <w:r w:rsidR="001C50BE" w:rsidRPr="001539F4">
        <w:rPr>
          <w:rFonts w:ascii="Palatino Linotype" w:hAnsi="Palatino Linotype"/>
          <w:sz w:val="22"/>
          <w:szCs w:val="22"/>
        </w:rPr>
        <w:t xml:space="preserve">, které </w:t>
      </w:r>
      <w:r w:rsidR="001C50BE"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1C50BE" w:rsidRDefault="001C50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 w:rsidR="008604BA">
        <w:rPr>
          <w:rFonts w:ascii="Palatino Linotype" w:hAnsi="Palatino Linotype"/>
          <w:sz w:val="22"/>
          <w:szCs w:val="22"/>
        </w:rPr>
        <w:t>ášení ke střetu zájmů.</w:t>
      </w:r>
    </w:p>
    <w:p w:rsidR="001C50BE" w:rsidRDefault="001C50BE" w:rsidP="008604BA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p w:rsidR="001C50BE" w:rsidRPr="00A53BC9" w:rsidRDefault="00C65DE2" w:rsidP="008604BA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1C50BE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1C50BE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1C50BE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1C50BE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1C50BE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1C50BE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1C50BE" w:rsidRPr="001539F4" w:rsidRDefault="001C50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1C50BE" w:rsidRPr="001539F4" w:rsidRDefault="001C50BE" w:rsidP="008604B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1C50BE" w:rsidRDefault="001C50BE" w:rsidP="008604BA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 w:cs="Tahoma"/>
          <w:sz w:val="22"/>
          <w:szCs w:val="22"/>
          <w:highlight w:val="yellow"/>
        </w:rPr>
        <w:t>…..</w:t>
      </w:r>
      <w:proofErr w:type="gramEnd"/>
    </w:p>
    <w:p w:rsidR="001C50BE" w:rsidRPr="001539F4" w:rsidRDefault="001C50BE" w:rsidP="008604BA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1C50BE" w:rsidRDefault="001C50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</w:t>
      </w:r>
      <w:r w:rsidRPr="001C50BE">
        <w:rPr>
          <w:rFonts w:ascii="Palatino Linotype" w:hAnsi="Palatino Linotype"/>
          <w:sz w:val="22"/>
          <w:szCs w:val="22"/>
        </w:rPr>
        <w:t>bylo posouzení podmínek kvalifikace.</w:t>
      </w:r>
    </w:p>
    <w:p w:rsidR="001C50BE" w:rsidRPr="001C50BE" w:rsidRDefault="001C50BE" w:rsidP="008604BA">
      <w:pPr>
        <w:spacing w:before="24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1C50BE">
        <w:rPr>
          <w:rFonts w:ascii="Palatino Linotype" w:hAnsi="Palatino Linotype"/>
          <w:b/>
          <w:sz w:val="22"/>
          <w:szCs w:val="22"/>
        </w:rPr>
        <w:t>Identifikační údaje účastníků, jejichž kvalifikace byla posuzována: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0"/>
        <w:gridCol w:w="3118"/>
        <w:gridCol w:w="4638"/>
      </w:tblGrid>
      <w:tr w:rsidR="001C50BE" w:rsidRPr="0074176F" w:rsidTr="001C50BE">
        <w:trPr>
          <w:trHeight w:val="874"/>
          <w:jc w:val="center"/>
        </w:trPr>
        <w:tc>
          <w:tcPr>
            <w:tcW w:w="1470" w:type="dxa"/>
            <w:shd w:val="clear" w:color="auto" w:fill="D9D9D9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1C50BE" w:rsidRPr="0074176F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 w:rsidR="001C50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/jméno a příjmení </w:t>
            </w:r>
            <w:r w:rsidR="001C50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4638" w:type="dxa"/>
            <w:shd w:val="clear" w:color="auto" w:fill="D9D9D9"/>
            <w:vAlign w:val="center"/>
          </w:tcPr>
          <w:p w:rsidR="001C50BE" w:rsidRPr="001C50BE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C50BE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308"/>
          <w:jc w:val="center"/>
        </w:trPr>
        <w:tc>
          <w:tcPr>
            <w:tcW w:w="1470" w:type="dxa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lastRenderedPageBreak/>
              <w:t>4.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C50BE" w:rsidRPr="0074176F" w:rsidTr="001C50BE">
        <w:trPr>
          <w:trHeight w:val="291"/>
          <w:jc w:val="center"/>
        </w:trPr>
        <w:tc>
          <w:tcPr>
            <w:tcW w:w="1470" w:type="dxa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311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38" w:type="dxa"/>
            <w:vAlign w:val="center"/>
          </w:tcPr>
          <w:p w:rsidR="001C50BE" w:rsidRPr="0074176F" w:rsidRDefault="001C50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C50BE" w:rsidRPr="00A53BC9" w:rsidRDefault="001C50BE" w:rsidP="008604BA">
      <w:pPr>
        <w:widowControl w:val="0"/>
        <w:spacing w:before="240" w:after="240" w:line="276" w:lineRule="auto"/>
        <w:jc w:val="both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A53BC9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Seznam dokladů, kterými účastníci prokazovali kvalifikaci</w:t>
      </w:r>
    </w:p>
    <w:p w:rsidR="001C50BE" w:rsidRPr="00A53BC9" w:rsidRDefault="001C50BE" w:rsidP="008604BA">
      <w:pPr>
        <w:widowControl w:val="0"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sz w:val="22"/>
          <w:szCs w:val="22"/>
          <w:highlight w:val="yellow"/>
        </w:rPr>
        <w:t xml:space="preserve">[Poznámka: </w:t>
      </w:r>
      <w:r w:rsidR="00A53BC9" w:rsidRPr="00A53BC9">
        <w:rPr>
          <w:rFonts w:ascii="Palatino Linotype" w:hAnsi="Palatino Linotype"/>
          <w:bCs/>
          <w:sz w:val="22"/>
          <w:szCs w:val="22"/>
          <w:highlight w:val="yellow"/>
        </w:rPr>
        <w:t>Komise</w:t>
      </w:r>
      <w:r w:rsidRPr="00A53BC9">
        <w:rPr>
          <w:rFonts w:ascii="Palatino Linotype" w:hAnsi="Palatino Linotype"/>
          <w:bCs/>
          <w:sz w:val="22"/>
          <w:szCs w:val="22"/>
          <w:highlight w:val="yellow"/>
        </w:rPr>
        <w:t xml:space="preserve"> v seznamu dokladů uvede: </w:t>
      </w:r>
    </w:p>
    <w:p w:rsidR="001C50BE" w:rsidRPr="00A53BC9" w:rsidRDefault="001C50BE" w:rsidP="008604BA">
      <w:pPr>
        <w:widowControl w:val="0"/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n</w:t>
      </w:r>
      <w:r w:rsidR="00A53BC9">
        <w:rPr>
          <w:rFonts w:ascii="Palatino Linotype" w:hAnsi="Palatino Linotype"/>
          <w:bCs/>
          <w:sz w:val="22"/>
          <w:szCs w:val="22"/>
          <w:highlight w:val="yellow"/>
        </w:rPr>
        <w:t>ázev dokladu</w:t>
      </w:r>
      <w:r w:rsidRPr="00A53BC9">
        <w:rPr>
          <w:rFonts w:ascii="Palatino Linotype" w:hAnsi="Palatino Linotype"/>
          <w:bCs/>
          <w:sz w:val="22"/>
          <w:szCs w:val="22"/>
          <w:highlight w:val="yellow"/>
        </w:rPr>
        <w:t>,</w:t>
      </w:r>
    </w:p>
    <w:p w:rsidR="001C50BE" w:rsidRPr="00A53BC9" w:rsidRDefault="001C50BE" w:rsidP="008604BA">
      <w:pPr>
        <w:widowControl w:val="0"/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informaci o tom, zda se jedná o společné prokazování kvalifikace,</w:t>
      </w:r>
    </w:p>
    <w:p w:rsidR="001C50BE" w:rsidRPr="00A53BC9" w:rsidRDefault="001C50BE" w:rsidP="008604BA">
      <w:pPr>
        <w:widowControl w:val="0"/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informaci o tom, zda kvalifikace byla prokázána prostřednictvím jiných osob,</w:t>
      </w:r>
    </w:p>
    <w:p w:rsidR="001C50BE" w:rsidRPr="00A53BC9" w:rsidRDefault="001C50BE" w:rsidP="008604BA">
      <w:pPr>
        <w:widowControl w:val="0"/>
        <w:numPr>
          <w:ilvl w:val="0"/>
          <w:numId w:val="14"/>
        </w:numPr>
        <w:spacing w:before="120" w:after="120" w:line="276" w:lineRule="auto"/>
        <w:ind w:left="425" w:hanging="425"/>
        <w:jc w:val="both"/>
        <w:rPr>
          <w:rFonts w:ascii="Palatino Linotype" w:hAnsi="Palatino Linotype"/>
          <w:bCs/>
          <w:sz w:val="22"/>
          <w:szCs w:val="22"/>
          <w:highlight w:val="yellow"/>
        </w:rPr>
      </w:pPr>
      <w:r w:rsidRPr="00A53BC9">
        <w:rPr>
          <w:rFonts w:ascii="Palatino Linotype" w:hAnsi="Palatino Linotype"/>
          <w:bCs/>
          <w:sz w:val="22"/>
          <w:szCs w:val="22"/>
          <w:highlight w:val="yellow"/>
        </w:rPr>
        <w:t>a dodavatele, u kterých zadavatel postupoval podle § 46 odst. 1 ZZVZ a uvedení názvu dokladů, které byly k prokázání kvalifikace doloženy na základě žádosti.</w:t>
      </w:r>
      <w:r w:rsidRPr="00A53BC9">
        <w:rPr>
          <w:rFonts w:ascii="Palatino Linotype" w:hAnsi="Palatino Linotype"/>
          <w:sz w:val="22"/>
          <w:szCs w:val="22"/>
          <w:highlight w:val="yellow"/>
        </w:rPr>
        <w:t>]</w:t>
      </w:r>
    </w:p>
    <w:p w:rsidR="001C50BE" w:rsidRPr="001C50BE" w:rsidRDefault="001C50BE" w:rsidP="008604BA">
      <w:pPr>
        <w:widowControl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C50BE">
        <w:rPr>
          <w:rFonts w:ascii="Palatino Linotype" w:hAnsi="Palatino Linotype"/>
          <w:sz w:val="22"/>
          <w:szCs w:val="22"/>
        </w:rPr>
        <w:t>Komise konstatovala,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3"/>
        <w:gridCol w:w="2469"/>
        <w:gridCol w:w="1542"/>
        <w:gridCol w:w="4445"/>
      </w:tblGrid>
      <w:tr w:rsidR="00A53BC9" w:rsidRPr="001C50BE" w:rsidTr="001C50BE">
        <w:trPr>
          <w:jc w:val="center"/>
        </w:trPr>
        <w:tc>
          <w:tcPr>
            <w:tcW w:w="43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53BC9" w:rsidRPr="00A53BC9" w:rsidRDefault="00A53BC9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53BC9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53BC9" w:rsidRPr="00A53BC9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A53BC9" w:rsidRPr="00A53BC9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A53BC9" w:rsidRPr="00A53BC9" w:rsidRDefault="00A53BC9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A53BC9" w:rsidRPr="00A53BC9" w:rsidRDefault="00A53BC9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</w:pPr>
            <w:r w:rsidRPr="00A53BC9">
              <w:rPr>
                <w:rFonts w:ascii="Palatino Linotype" w:hAnsi="Palatino Linotype"/>
                <w:b/>
                <w:sz w:val="22"/>
                <w:szCs w:val="22"/>
              </w:rPr>
              <w:t>Odůvodnění (při postupu dle § 46 odst. 1 ZZVZ nebo při neprokázání kvalifikace)</w:t>
            </w: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8604BA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1C50BE"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8604BA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8604BA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8604BA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1C50BE" w:rsidRPr="001C50BE" w:rsidTr="001C50BE">
        <w:trPr>
          <w:jc w:val="center"/>
        </w:trPr>
        <w:tc>
          <w:tcPr>
            <w:tcW w:w="43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numPr>
                <w:ilvl w:val="0"/>
                <w:numId w:val="19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C50BE" w:rsidRPr="00A53BC9" w:rsidRDefault="008604BA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A53BC9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1C50BE" w:rsidRPr="001C50BE" w:rsidRDefault="001C50BE" w:rsidP="008604BA">
            <w:pPr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</w:tbl>
    <w:p w:rsidR="001C50BE" w:rsidRPr="001C50BE" w:rsidRDefault="001C50BE" w:rsidP="008604BA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1C50BE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1C50BE" w:rsidRPr="001C50BE" w:rsidRDefault="001C50BE" w:rsidP="008604BA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C50BE">
        <w:rPr>
          <w:rFonts w:ascii="Palatino Linotype" w:hAnsi="Palatino Linotype"/>
          <w:sz w:val="22"/>
          <w:szCs w:val="22"/>
        </w:rPr>
        <w:t>Předseda komise vyzval přítomné členy komise, aby ke shora uvedeným výsledkům prokazování splnění kvalifikace případně vyjádřili opačný názor, a to včetně příslušného odůvodnění.</w:t>
      </w:r>
    </w:p>
    <w:p w:rsidR="00A53BC9" w:rsidRPr="005878BE" w:rsidRDefault="001C50BE" w:rsidP="008604BA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53BC9">
        <w:rPr>
          <w:rFonts w:ascii="Palatino Linotype" w:hAnsi="Palatino Linotype"/>
          <w:sz w:val="22"/>
          <w:szCs w:val="22"/>
          <w:highlight w:val="yellow"/>
        </w:rPr>
        <w:t>[Poznámka: Na tomto místě bude uveden případný odlišný názor v</w:t>
      </w:r>
      <w:r w:rsidR="00A53BC9" w:rsidRPr="00A53BC9">
        <w:rPr>
          <w:rFonts w:ascii="Palatino Linotype" w:hAnsi="Palatino Linotype"/>
          <w:sz w:val="22"/>
          <w:szCs w:val="22"/>
          <w:highlight w:val="yellow"/>
        </w:rPr>
        <w:t>četně odůvodnění člena</w:t>
      </w:r>
      <w:r w:rsidRPr="00A53BC9">
        <w:rPr>
          <w:rFonts w:ascii="Palatino Linotype" w:hAnsi="Palatino Linotype"/>
          <w:sz w:val="22"/>
          <w:szCs w:val="22"/>
          <w:highlight w:val="yellow"/>
        </w:rPr>
        <w:t xml:space="preserve"> komise. V případě, že žádný z členů komise nevyjádřil odlišný názor oproti názoru většiny, pak na tomto místě protokolu bude použita tato formulace:</w:t>
      </w:r>
      <w:r w:rsidR="00A53BC9" w:rsidRPr="00A53BC9">
        <w:rPr>
          <w:rFonts w:ascii="Palatino Linotype" w:hAnsi="Palatino Linotype"/>
          <w:sz w:val="22"/>
          <w:szCs w:val="22"/>
          <w:highlight w:val="yellow"/>
        </w:rPr>
        <w:t xml:space="preserve"> Žádný z členů hodnotící komise nevyjádřil odlišný názor oproti názoru většiny.</w:t>
      </w:r>
      <w:r w:rsidRPr="00A53BC9">
        <w:rPr>
          <w:rFonts w:ascii="Palatino Linotype" w:hAnsi="Palatino Linotype"/>
          <w:sz w:val="22"/>
          <w:szCs w:val="22"/>
          <w:highlight w:val="yellow"/>
        </w:rPr>
        <w:t>]</w:t>
      </w:r>
    </w:p>
    <w:p w:rsidR="001C50BE" w:rsidRDefault="001C50BE" w:rsidP="008604BA">
      <w:pPr>
        <w:widowControl w:val="0"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1C50BE" w:rsidRPr="001539F4" w:rsidRDefault="001C50BE" w:rsidP="008604BA">
      <w:pPr>
        <w:widowControl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</w:t>
      </w:r>
      <w:r w:rsidRPr="00A53BC9">
        <w:rPr>
          <w:rFonts w:ascii="Palatino Linotype" w:hAnsi="Palatino Linotype"/>
          <w:sz w:val="22"/>
          <w:szCs w:val="22"/>
        </w:rPr>
        <w:t>provedeném posouzení kvalifikace bylo jednání</w:t>
      </w:r>
      <w:r>
        <w:rPr>
          <w:rFonts w:ascii="Palatino Linotype" w:hAnsi="Palatino Linotype"/>
          <w:sz w:val="22"/>
          <w:szCs w:val="22"/>
        </w:rPr>
        <w:t xml:space="preserve">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1C50BE" w:rsidRPr="001539F4" w:rsidTr="001C50BE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lastRenderedPageBreak/>
              <w:t>Jména a podpisy přítomných členů či náhradníků členů komise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1C50BE" w:rsidRPr="001539F4" w:rsidTr="001C50BE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50BE" w:rsidRPr="001539F4" w:rsidRDefault="008604BA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</w:t>
            </w:r>
            <w:r w:rsidR="001C50B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/náhradníka člena komise</w:t>
            </w:r>
            <w:r w:rsidR="001C50BE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1C50BE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1C50BE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1C50BE" w:rsidRPr="001539F4" w:rsidRDefault="001C50BE" w:rsidP="008604BA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8604BA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8604BA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8604BA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8604BA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C50BE" w:rsidRPr="001539F4" w:rsidTr="001C50BE">
        <w:trPr>
          <w:trHeight w:val="525"/>
        </w:trPr>
        <w:tc>
          <w:tcPr>
            <w:tcW w:w="4820" w:type="dxa"/>
            <w:vAlign w:val="center"/>
          </w:tcPr>
          <w:p w:rsidR="001C50BE" w:rsidRPr="001539F4" w:rsidRDefault="001C50BE" w:rsidP="008604BA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1C50BE" w:rsidRPr="001539F4" w:rsidRDefault="001C50BE" w:rsidP="008604BA">
            <w:pPr>
              <w:pStyle w:val="Zhlav"/>
              <w:widowControl w:val="0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A53BC9" w:rsidRDefault="00A53BC9" w:rsidP="008604BA">
      <w:pPr>
        <w:spacing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br w:type="page"/>
      </w:r>
    </w:p>
    <w:p w:rsidR="001C50BE" w:rsidRPr="001B4432" w:rsidRDefault="001C50BE" w:rsidP="008604BA">
      <w:pPr>
        <w:pStyle w:val="Nzev"/>
        <w:spacing w:before="240" w:after="120" w:line="276" w:lineRule="auto"/>
        <w:jc w:val="both"/>
        <w:rPr>
          <w:rFonts w:ascii="Palatino Linotype" w:hAnsi="Palatino Linotype"/>
          <w:caps/>
          <w:sz w:val="22"/>
          <w:szCs w:val="22"/>
          <w:u w:val="none"/>
        </w:rPr>
      </w:pPr>
      <w:r w:rsidRPr="001B4432">
        <w:rPr>
          <w:rFonts w:ascii="Palatino Linotype" w:hAnsi="Palatino Linotype"/>
          <w:sz w:val="22"/>
          <w:szCs w:val="22"/>
          <w:highlight w:val="cyan"/>
          <w:u w:val="none"/>
        </w:rPr>
        <w:lastRenderedPageBreak/>
        <w:t>Varianta –</w:t>
      </w:r>
      <w:r>
        <w:rPr>
          <w:rFonts w:ascii="Palatino Linotype" w:hAnsi="Palatino Linotype"/>
          <w:sz w:val="22"/>
          <w:szCs w:val="22"/>
          <w:highlight w:val="cyan"/>
          <w:u w:val="none"/>
        </w:rPr>
        <w:t xml:space="preserve"> posouzení podmínek účasti a hodnocení</w:t>
      </w:r>
    </w:p>
    <w:p w:rsidR="00F95F5F" w:rsidRPr="00F95F5F" w:rsidRDefault="00875756" w:rsidP="008604BA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>PROTOKOL Z JEDNÁNÍ HODNOTI</w:t>
      </w:r>
      <w:r w:rsidR="00B60E10">
        <w:rPr>
          <w:rFonts w:ascii="Palatino Linotype" w:hAnsi="Palatino Linotype"/>
          <w:caps/>
          <w:sz w:val="24"/>
          <w:szCs w:val="24"/>
        </w:rPr>
        <w:t>CÍ KOMISE</w:t>
      </w:r>
    </w:p>
    <w:p w:rsidR="00E45392" w:rsidRPr="00D60154" w:rsidRDefault="00E45392" w:rsidP="008604BA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571EC9" w:rsidRDefault="00875756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Hodnoti</w:t>
      </w:r>
      <w:r w:rsidR="00571EC9" w:rsidRPr="001539F4">
        <w:rPr>
          <w:rFonts w:ascii="Palatino Linotype" w:hAnsi="Palatino Linotype"/>
          <w:sz w:val="22"/>
          <w:szCs w:val="22"/>
        </w:rPr>
        <w:t>cí komise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571EC9" w:rsidRPr="001539F4">
        <w:rPr>
          <w:rFonts w:ascii="Palatino Linotype" w:hAnsi="Palatino Linotype"/>
          <w:sz w:val="22"/>
          <w:szCs w:val="22"/>
        </w:rPr>
        <w:t xml:space="preserve"> jednání vztahujícímu se k výše uvedené veřejné zakázce, zadávané v </w:t>
      </w:r>
      <w:r w:rsidR="00066400">
        <w:rPr>
          <w:rFonts w:ascii="Palatino Linotype" w:hAnsi="Palatino Linotype"/>
          <w:sz w:val="22"/>
          <w:szCs w:val="22"/>
        </w:rPr>
        <w:t>užším</w:t>
      </w:r>
      <w:r w:rsidR="00571EC9" w:rsidRPr="001539F4">
        <w:rPr>
          <w:rFonts w:ascii="Palatino Linotype" w:hAnsi="Palatino Linotype"/>
          <w:sz w:val="22"/>
          <w:szCs w:val="22"/>
        </w:rPr>
        <w:t xml:space="preserve"> řízení podle </w:t>
      </w:r>
      <w:proofErr w:type="spellStart"/>
      <w:r w:rsidR="00571EC9" w:rsidRPr="001539F4">
        <w:rPr>
          <w:rFonts w:ascii="Palatino Linotype" w:hAnsi="Palatino Linotype"/>
          <w:sz w:val="22"/>
          <w:szCs w:val="22"/>
        </w:rPr>
        <w:t>ust</w:t>
      </w:r>
      <w:proofErr w:type="spellEnd"/>
      <w:r w:rsidR="00571EC9" w:rsidRPr="001539F4">
        <w:rPr>
          <w:rFonts w:ascii="Palatino Linotype" w:hAnsi="Palatino Linotype"/>
          <w:sz w:val="22"/>
          <w:szCs w:val="22"/>
        </w:rPr>
        <w:t>. § </w:t>
      </w:r>
      <w:r w:rsidR="00066400">
        <w:rPr>
          <w:rFonts w:ascii="Palatino Linotype" w:hAnsi="Palatino Linotype"/>
          <w:sz w:val="22"/>
          <w:szCs w:val="22"/>
        </w:rPr>
        <w:t>58</w:t>
      </w:r>
      <w:r w:rsidR="00571EC9">
        <w:rPr>
          <w:rFonts w:ascii="Palatino Linotype" w:hAnsi="Palatino Linotype"/>
          <w:sz w:val="22"/>
          <w:szCs w:val="22"/>
        </w:rPr>
        <w:t xml:space="preserve"> ZZVZ</w:t>
      </w:r>
      <w:r w:rsidR="00571EC9" w:rsidRPr="001539F4">
        <w:rPr>
          <w:rFonts w:ascii="Palatino Linotype" w:hAnsi="Palatino Linotype"/>
          <w:sz w:val="22"/>
          <w:szCs w:val="22"/>
        </w:rPr>
        <w:t xml:space="preserve"> a pořídila z něj tento protokol.</w:t>
      </w:r>
    </w:p>
    <w:p w:rsidR="00571EC9" w:rsidRPr="001539F4" w:rsidRDefault="00571EC9" w:rsidP="008604BA">
      <w:pPr>
        <w:numPr>
          <w:ilvl w:val="0"/>
          <w:numId w:val="21"/>
        </w:num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 xml:space="preserve">základě rozhodnutí zadavatele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č. usnesení Rady HMP …</w:t>
      </w:r>
      <w:proofErr w:type="gramStart"/>
      <w:r w:rsidR="007933B1" w:rsidRPr="007933B1">
        <w:rPr>
          <w:rFonts w:ascii="Palatino Linotype" w:hAnsi="Palatino Linotype"/>
          <w:sz w:val="22"/>
          <w:szCs w:val="22"/>
          <w:highlight w:val="yellow"/>
        </w:rPr>
        <w:t>….. ze</w:t>
      </w:r>
      <w:proofErr w:type="gramEnd"/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7933B1">
        <w:rPr>
          <w:rFonts w:ascii="Palatino Linotype" w:hAnsi="Palatino Linotype"/>
          <w:sz w:val="22"/>
          <w:szCs w:val="22"/>
          <w:highlight w:val="yellow"/>
        </w:rPr>
        <w:t>dne</w:t>
      </w:r>
      <w:r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Pr="007933B1">
        <w:rPr>
          <w:rFonts w:ascii="Palatino Linotype" w:hAnsi="Palatino Linotype"/>
          <w:sz w:val="22"/>
          <w:szCs w:val="22"/>
          <w:highlight w:val="yellow"/>
        </w:rPr>
        <w:t>,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/na základě rozhodnutí ředitele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zadávajícího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odboru</w:t>
      </w:r>
      <w:r w:rsidR="00875756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č. .........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8604BA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8604BA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>náhradníků, čímž byla splněna podmínka přítomnos</w:t>
      </w:r>
      <w:r w:rsidR="008604BA">
        <w:rPr>
          <w:rFonts w:ascii="Palatino Linotype" w:hAnsi="Palatino Linotype"/>
          <w:sz w:val="22"/>
          <w:szCs w:val="22"/>
        </w:rPr>
        <w:t>ti více jak 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Pr="00AA52E8" w:rsidRDefault="00571EC9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571EC9" w:rsidRDefault="00AB5995" w:rsidP="008604BA">
      <w:pPr>
        <w:keepNext/>
        <w:numPr>
          <w:ilvl w:val="0"/>
          <w:numId w:val="21"/>
        </w:numPr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Default="008604BA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</w:t>
      </w:r>
      <w:r w:rsidR="00571EC9">
        <w:rPr>
          <w:rFonts w:ascii="Palatino Linotype" w:hAnsi="Palatino Linotype"/>
          <w:sz w:val="22"/>
          <w:szCs w:val="22"/>
        </w:rPr>
        <w:t>náhradníci členů komise</w:t>
      </w:r>
      <w:r w:rsidR="00571EC9" w:rsidRPr="00AA52E8">
        <w:rPr>
          <w:rFonts w:ascii="Palatino Linotype" w:hAnsi="Palatino Linotype"/>
          <w:sz w:val="22"/>
          <w:szCs w:val="22"/>
        </w:rPr>
        <w:t>/</w:t>
      </w:r>
      <w:proofErr w:type="gramStart"/>
      <w:r w:rsidR="00571EC9" w:rsidRPr="00AA52E8">
        <w:rPr>
          <w:rFonts w:ascii="Palatino Linotype" w:hAnsi="Palatino Linotype"/>
          <w:sz w:val="22"/>
          <w:szCs w:val="22"/>
        </w:rPr>
        <w:t>…</w:t>
      </w:r>
      <w:proofErr w:type="gramEnd"/>
      <w:r w:rsidR="00571EC9" w:rsidRPr="00AA52E8">
        <w:rPr>
          <w:rFonts w:ascii="Palatino Linotype" w:hAnsi="Palatino Linotype"/>
          <w:sz w:val="22"/>
          <w:szCs w:val="22"/>
        </w:rPr>
        <w:t>.</w:t>
      </w:r>
      <w:proofErr w:type="gramStart"/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="00571EC9" w:rsidRPr="00AA52E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="00571EC9"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="00571EC9" w:rsidRPr="00571EC9">
        <w:rPr>
          <w:rFonts w:ascii="Palatino Linotype" w:hAnsi="Palatino Linotype"/>
          <w:sz w:val="22"/>
          <w:szCs w:val="22"/>
        </w:rPr>
        <w:t>v rámci shora uvedené veřejné zakázky účastníci zadávacího řízení předložili.</w:t>
      </w:r>
    </w:p>
    <w:p w:rsidR="00571EC9" w:rsidRDefault="00571EC9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smyslu </w:t>
      </w:r>
      <w:proofErr w:type="spellStart"/>
      <w:r w:rsidR="00824CAE">
        <w:rPr>
          <w:rFonts w:ascii="Palatino Linotype" w:hAnsi="Palatino Linotype"/>
          <w:sz w:val="22"/>
          <w:szCs w:val="22"/>
        </w:rPr>
        <w:t>ust</w:t>
      </w:r>
      <w:proofErr w:type="spellEnd"/>
      <w:r w:rsidR="00824CAE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44 ZZVZ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 w:rsidR="008604BA">
        <w:rPr>
          <w:rFonts w:ascii="Palatino Linotype" w:hAnsi="Palatino Linotype"/>
          <w:sz w:val="22"/>
          <w:szCs w:val="22"/>
        </w:rPr>
        <w:t>ášení ke střetu zájmů.</w:t>
      </w:r>
    </w:p>
    <w:p w:rsidR="00571EC9" w:rsidRDefault="00571EC9" w:rsidP="008604BA">
      <w:pPr>
        <w:numPr>
          <w:ilvl w:val="0"/>
          <w:numId w:val="21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lastRenderedPageBreak/>
        <w:t>Volba předsedy a místopředsedy komise</w:t>
      </w:r>
    </w:p>
    <w:bookmarkStart w:id="4" w:name="Text7"/>
    <w:p w:rsidR="00571EC9" w:rsidRPr="00A53BC9" w:rsidRDefault="00C65DE2" w:rsidP="008604BA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zařazen jen v případě, kdy hodnot</w:t>
      </w:r>
      <w:r w:rsidR="00875756">
        <w:rPr>
          <w:rFonts w:ascii="Palatino Linotype" w:hAnsi="Palatino Linotype"/>
          <w:i/>
          <w:noProof/>
          <w:sz w:val="22"/>
          <w:szCs w:val="22"/>
          <w:highlight w:val="yellow"/>
        </w:rPr>
        <w:t>i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cí komise není zároveň pověřena výkonem funkce komise pro otevírání obálek.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4"/>
    </w:p>
    <w:p w:rsidR="00571EC9" w:rsidRPr="001539F4" w:rsidRDefault="00571EC9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8604BA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571EC9" w:rsidRDefault="00571EC9" w:rsidP="008604BA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 w:cs="Tahoma"/>
          <w:sz w:val="22"/>
          <w:szCs w:val="22"/>
          <w:highlight w:val="yellow"/>
        </w:rPr>
        <w:t>…..</w:t>
      </w:r>
      <w:proofErr w:type="gramEnd"/>
    </w:p>
    <w:p w:rsidR="005878BE" w:rsidRPr="001539F4" w:rsidRDefault="005878BE" w:rsidP="008604BA">
      <w:pPr>
        <w:numPr>
          <w:ilvl w:val="0"/>
          <w:numId w:val="21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Pr="005878BE" w:rsidRDefault="005878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</w:t>
      </w:r>
      <w:r w:rsidR="008604BA">
        <w:rPr>
          <w:rFonts w:ascii="Palatino Linotype" w:hAnsi="Palatino Linotype"/>
          <w:sz w:val="22"/>
          <w:szCs w:val="22"/>
          <w:highlight w:val="yellow"/>
        </w:rPr>
        <w:t>ora uvedenou veřejnou zakázku/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posouzení splnění podmínek účasti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shora uvedenou veřejnou zakázku</w:t>
      </w:r>
      <w:r w:rsidR="00AA52E8">
        <w:rPr>
          <w:rFonts w:ascii="Palatino Linotype" w:hAnsi="Palatino Linotype"/>
          <w:sz w:val="22"/>
          <w:szCs w:val="22"/>
        </w:rPr>
        <w:t>.</w:t>
      </w:r>
    </w:p>
    <w:p w:rsidR="005878BE" w:rsidRPr="0074176F" w:rsidRDefault="005878BE" w:rsidP="008604BA">
      <w:pPr>
        <w:spacing w:before="240" w:after="240" w:line="276" w:lineRule="auto"/>
        <w:jc w:val="center"/>
      </w:pPr>
      <w:r>
        <w:rPr>
          <w:rFonts w:ascii="Palatino Linotype" w:hAnsi="Palatino Linotype"/>
          <w:b/>
          <w:sz w:val="22"/>
          <w:szCs w:val="22"/>
          <w:u w:val="single"/>
        </w:rPr>
        <w:t xml:space="preserve">Nabídky </w:t>
      </w:r>
      <w:r w:rsidR="00875756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278"/>
        <w:gridCol w:w="1863"/>
        <w:gridCol w:w="1503"/>
        <w:gridCol w:w="1280"/>
      </w:tblGrid>
      <w:tr w:rsidR="005878BE" w:rsidRPr="0074176F" w:rsidTr="005878BE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5878BE" w:rsidRPr="0074176F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5878BE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5878BE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875756" w:rsidRDefault="00875756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kritérium 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hodnocení</w:t>
            </w:r>
          </w:p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5878BE" w:rsidRDefault="00875756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Další </w:t>
            </w:r>
            <w:r w:rsidR="005878BE" w:rsidRPr="0074176F">
              <w:rPr>
                <w:rFonts w:ascii="Palatino Linotype" w:hAnsi="Palatino Linotype"/>
                <w:b/>
                <w:sz w:val="22"/>
                <w:szCs w:val="22"/>
              </w:rPr>
              <w:t>kritérium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308"/>
          <w:jc w:val="center"/>
        </w:trPr>
        <w:tc>
          <w:tcPr>
            <w:tcW w:w="1158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878BE" w:rsidRPr="0074176F" w:rsidTr="005878BE">
        <w:trPr>
          <w:trHeight w:val="291"/>
          <w:jc w:val="center"/>
        </w:trPr>
        <w:tc>
          <w:tcPr>
            <w:tcW w:w="1158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278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5878BE" w:rsidRPr="0074176F" w:rsidRDefault="005878BE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A52E8" w:rsidRDefault="005878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Pr="005878BE">
        <w:rPr>
          <w:rFonts w:ascii="Palatino Linotype" w:hAnsi="Palatino Linotype"/>
          <w:sz w:val="22"/>
          <w:szCs w:val="22"/>
        </w:rPr>
        <w:t>ředse</w:t>
      </w:r>
      <w:r w:rsidR="008604BA">
        <w:rPr>
          <w:rFonts w:ascii="Palatino Linotype" w:hAnsi="Palatino Linotype"/>
          <w:sz w:val="22"/>
          <w:szCs w:val="22"/>
        </w:rPr>
        <w:t>da komise vyzval přítomné členy/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5878BE">
        <w:rPr>
          <w:rFonts w:ascii="Palatino Linotype" w:hAnsi="Palatino Linotype"/>
          <w:sz w:val="22"/>
          <w:szCs w:val="22"/>
        </w:rPr>
        <w:t>komise k hodnocení jednotlivých nabídek</w:t>
      </w:r>
      <w:r w:rsidR="008604BA">
        <w:rPr>
          <w:rFonts w:ascii="Palatino Linotype" w:hAnsi="Palatino Linotype"/>
          <w:sz w:val="22"/>
          <w:szCs w:val="22"/>
        </w:rPr>
        <w:t>/</w:t>
      </w:r>
      <w:r w:rsidRPr="00442FC8">
        <w:rPr>
          <w:rFonts w:ascii="Palatino Linotype" w:hAnsi="Palatino Linotype"/>
          <w:sz w:val="22"/>
          <w:szCs w:val="22"/>
          <w:highlight w:val="yellow"/>
        </w:rPr>
        <w:t>s tím, aby uvedli rovněž stručný popis jejich hodnocení.</w:t>
      </w:r>
    </w:p>
    <w:p w:rsidR="009C6B64" w:rsidRPr="005878BE" w:rsidRDefault="005878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Komise podle pravidel pro hodnocení ekonomické výhodnosti nabídek uvedených v zadávací dokumentaci na základě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 nabídkové ceny/nejvýhodnějšího poměru nabídkové ceny a</w:t>
      </w:r>
      <w:r w:rsidR="008604BA">
        <w:rPr>
          <w:rFonts w:ascii="Palatino Linotype" w:hAnsi="Palatino Linotype"/>
          <w:sz w:val="22"/>
          <w:szCs w:val="22"/>
          <w:highlight w:val="yellow"/>
        </w:rPr>
        <w:t> </w:t>
      </w:r>
      <w:r w:rsidRPr="005878BE">
        <w:rPr>
          <w:rFonts w:ascii="Palatino Linotype" w:hAnsi="Palatino Linotype"/>
          <w:sz w:val="22"/>
          <w:szCs w:val="22"/>
          <w:highlight w:val="yellow"/>
        </w:rPr>
        <w:t>kvality/</w:t>
      </w:r>
      <w:r w:rsidRPr="005878BE" w:rsidDel="001E5BB1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5878BE">
        <w:rPr>
          <w:rFonts w:ascii="Palatino Linotype" w:hAnsi="Palatino Linotype"/>
          <w:sz w:val="22"/>
          <w:szCs w:val="22"/>
          <w:highlight w:val="yellow"/>
        </w:rPr>
        <w:t>nejnižších nákladů životního cyklu/kvality nabízeného plnění</w:t>
      </w:r>
      <w:r w:rsidRPr="005878BE">
        <w:rPr>
          <w:rFonts w:ascii="Palatino Linotype" w:hAnsi="Palatino Linotype"/>
          <w:sz w:val="22"/>
          <w:szCs w:val="22"/>
        </w:rPr>
        <w:t xml:space="preserve"> (popis hodnocení jednotlivých nabídek v rámci všech kriterií hodnocení obsahuje Zpráva o hodnocení nabídek) sestavila následující pořadí účastníků:</w:t>
      </w:r>
    </w:p>
    <w:p w:rsidR="009C6B64" w:rsidRPr="005878BE" w:rsidRDefault="009C6B64" w:rsidP="008604BA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5"/>
        <w:gridCol w:w="1158"/>
        <w:gridCol w:w="2268"/>
        <w:gridCol w:w="1850"/>
        <w:gridCol w:w="1498"/>
        <w:gridCol w:w="1280"/>
      </w:tblGrid>
      <w:tr w:rsidR="009C6B64" w:rsidRPr="005878BE" w:rsidTr="007933B1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9C6B64" w:rsidRPr="005878BE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9C6B64" w:rsidRPr="005878B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 w:rsidR="009C6B64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/jméno a příjmení 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 xml:space="preserve">Další kritérium 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hodnocení </w:t>
            </w: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0A14FD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308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C6B64" w:rsidRPr="005878BE" w:rsidTr="007933B1">
        <w:trPr>
          <w:trHeight w:val="291"/>
          <w:jc w:val="center"/>
        </w:trPr>
        <w:tc>
          <w:tcPr>
            <w:tcW w:w="115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9C6B64" w:rsidRPr="005878BE" w:rsidRDefault="009C6B64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8604B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5878BE" w:rsidRDefault="005878BE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2D0F44">
        <w:rPr>
          <w:rFonts w:ascii="Palatino Linotype" w:hAnsi="Palatino Linotype"/>
          <w:sz w:val="22"/>
          <w:szCs w:val="22"/>
          <w:highlight w:val="yellow"/>
        </w:rPr>
        <w:t>e pouze jediný účastník. Hodnoti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cí komise proto doporučuje zadavateli, aby vybral nabídku pořadové číslo </w:t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C65DE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722B68" w:rsidRDefault="00722B68" w:rsidP="008604BA">
      <w:pPr>
        <w:spacing w:before="120" w:after="120" w:line="276" w:lineRule="auto"/>
        <w:jc w:val="both"/>
      </w:pPr>
      <w:r w:rsidRPr="00722B68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2D0F44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cí komise posoudila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722B68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8604BA" w:rsidP="008604BA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722B68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8604BA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722B68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722B68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§ 113 odst. 4 ZZVZ)</w:t>
            </w: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066400" w:rsidRDefault="00066400" w:rsidP="008604B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  <w:highlight w:val="yellow"/>
        </w:rPr>
        <w:t>[Komise zde vyjádří své stanovisko k jednotlivým zdůvodněním MNNC]</w:t>
      </w:r>
    </w:p>
    <w:p w:rsidR="00BD3B27" w:rsidRPr="00722B68" w:rsidRDefault="00BD3B27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přistoupila k posouzení splnění podmínek účasti v zadávacím řízení v souladu s</w:t>
      </w:r>
      <w:r>
        <w:rPr>
          <w:rFonts w:ascii="Palatino Linotype" w:hAnsi="Palatino Linotype"/>
          <w:sz w:val="22"/>
          <w:szCs w:val="22"/>
        </w:rPr>
        <w:t> 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</w:t>
      </w:r>
      <w:r w:rsidRPr="00722B68">
        <w:rPr>
          <w:rFonts w:ascii="Palatino Linotype" w:hAnsi="Palatino Linotype"/>
          <w:sz w:val="22"/>
          <w:szCs w:val="22"/>
        </w:rPr>
        <w:t>§</w:t>
      </w:r>
      <w:r w:rsidR="002D0F44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37 ZZVZ.</w:t>
      </w:r>
    </w:p>
    <w:p w:rsidR="00722B68" w:rsidRPr="00A53BC9" w:rsidRDefault="00722B68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nejdříve přistoupila k posouzení splnění podmínek kvalifikace.</w:t>
      </w:r>
      <w:r w:rsidRPr="00722B68">
        <w:rPr>
          <w:rFonts w:ascii="Palatino Linotype" w:hAnsi="Palatino Linotype"/>
          <w:sz w:val="22"/>
          <w:szCs w:val="22"/>
        </w:rPr>
        <w:tab/>
      </w:r>
    </w:p>
    <w:p w:rsidR="00722B68" w:rsidRPr="00722B68" w:rsidRDefault="00722B68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 xml:space="preserve">Komise následně přistoupila k posouzení splnění </w:t>
      </w:r>
      <w:r w:rsidRPr="00A53BC9">
        <w:rPr>
          <w:rFonts w:ascii="Palatino Linotype" w:hAnsi="Palatino Linotype"/>
          <w:sz w:val="22"/>
          <w:szCs w:val="22"/>
          <w:highlight w:val="yellow"/>
        </w:rPr>
        <w:t>technických podmínek</w:t>
      </w:r>
      <w:r w:rsidR="008604BA">
        <w:rPr>
          <w:rFonts w:ascii="Palatino Linotype" w:hAnsi="Palatino Linotype"/>
          <w:sz w:val="22"/>
          <w:szCs w:val="22"/>
          <w:highlight w:val="yellow"/>
        </w:rPr>
        <w:t>/</w:t>
      </w:r>
      <w:r w:rsidRPr="00A53BC9">
        <w:rPr>
          <w:rFonts w:ascii="Palatino Linotype" w:hAnsi="Palatino Linotype"/>
          <w:sz w:val="22"/>
          <w:szCs w:val="22"/>
          <w:highlight w:val="yellow"/>
        </w:rPr>
        <w:t>obchodních</w:t>
      </w:r>
      <w:r w:rsidR="008604BA">
        <w:rPr>
          <w:rFonts w:ascii="Palatino Linotype" w:hAnsi="Palatino Linotype"/>
          <w:sz w:val="22"/>
          <w:szCs w:val="22"/>
          <w:highlight w:val="yellow"/>
        </w:rPr>
        <w:t xml:space="preserve"> nebo jiných smluvních podmínek/</w:t>
      </w:r>
      <w:r w:rsidRPr="00A53BC9">
        <w:rPr>
          <w:rFonts w:ascii="Palatino Linotype" w:hAnsi="Palatino Linotype"/>
          <w:sz w:val="22"/>
          <w:szCs w:val="22"/>
          <w:highlight w:val="yellow"/>
        </w:rPr>
        <w:t>zvláštních podmínek.</w:t>
      </w:r>
    </w:p>
    <w:p w:rsidR="00722B68" w:rsidRPr="00722B68" w:rsidRDefault="00722B68" w:rsidP="008604BA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C65DE2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C65DE2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C65DE2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C65DE2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Pr="00722B68">
        <w:rPr>
          <w:rFonts w:ascii="Palatino Linotype" w:hAnsi="Palatino Linotype"/>
          <w:b/>
          <w:sz w:val="22"/>
          <w:szCs w:val="22"/>
        </w:rPr>
        <w:t>podmínky byly posuzovány: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8604BA" w:rsidP="008604BA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BD3B27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C65DE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8604BA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 konstatovala,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C65DE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C65DE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C65DE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C65DE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podmínek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(při postupu dle </w:t>
            </w: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ust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</w:t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§ 46 odst. 1 ZZVZ nebo při neprokázání podmínek)</w:t>
            </w: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8604B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8604BA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8604B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8604BA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611469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722B68" w:rsidRDefault="00722B68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AA52E8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BD3B27" w:rsidRPr="00722B68" w:rsidRDefault="00BD3B27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8604B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Žádný z</w:t>
      </w:r>
      <w:r w:rsidR="007933B1">
        <w:rPr>
          <w:rFonts w:ascii="Palatino Linotype" w:hAnsi="Palatino Linotype"/>
          <w:sz w:val="22"/>
          <w:szCs w:val="22"/>
        </w:rPr>
        <w:t> </w:t>
      </w:r>
      <w:r w:rsidRPr="00722B68">
        <w:rPr>
          <w:rFonts w:ascii="Palatino Linotype" w:hAnsi="Palatino Linotype"/>
          <w:sz w:val="22"/>
          <w:szCs w:val="22"/>
        </w:rPr>
        <w:t>členů</w:t>
      </w:r>
      <w:r w:rsidR="00611469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náhradníků</w:t>
      </w:r>
      <w:r w:rsidRPr="00722B68">
        <w:rPr>
          <w:rFonts w:ascii="Palatino Linotype" w:hAnsi="Palatino Linotype"/>
          <w:sz w:val="22"/>
          <w:szCs w:val="22"/>
        </w:rPr>
        <w:t xml:space="preserve"> hodnotící komise nevyjádřil odlišný názor oproti názoru většiny.</w:t>
      </w:r>
    </w:p>
    <w:p w:rsidR="00824CAE" w:rsidRDefault="00824CAE" w:rsidP="00611469">
      <w:pPr>
        <w:keepNext/>
        <w:keepLines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</w:p>
    <w:p w:rsidR="00824CAE" w:rsidRPr="001539F4" w:rsidRDefault="00824CAE" w:rsidP="00611469">
      <w:pPr>
        <w:keepNext/>
        <w:keepLines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>posouzení splnění podmínek účasti a výše nabídkových cen stanovených účastníky zadávacího řízení na shora uvedenou veřejnou zakázku</w:t>
      </w:r>
      <w:r w:rsidR="00AA52E8" w:rsidRPr="00AA52E8">
        <w:rPr>
          <w:rFonts w:ascii="Palatino Linotype" w:hAnsi="Palatino Linotype"/>
          <w:sz w:val="22"/>
          <w:szCs w:val="22"/>
          <w:highlight w:val="yellow"/>
        </w:rPr>
        <w:t>/</w:t>
      </w:r>
      <w:r w:rsidRPr="00AA52E8">
        <w:rPr>
          <w:rFonts w:ascii="Palatino Linotype" w:hAnsi="Palatino Linotype"/>
          <w:sz w:val="22"/>
          <w:szCs w:val="22"/>
          <w:highlight w:val="yellow"/>
        </w:rPr>
        <w:t>hodnocení nabídek, pro které zpracovala hodnotící komise též zprávu o hodnocení nabídek</w:t>
      </w:r>
      <w:r>
        <w:rPr>
          <w:rFonts w:ascii="Palatino Linotype" w:hAnsi="Palatino Linotype"/>
          <w:sz w:val="22"/>
          <w:szCs w:val="22"/>
        </w:rPr>
        <w:t xml:space="preserve">, bylo jednání komise ukončeno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611469" w:rsidP="00611469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</w:t>
            </w:r>
            <w:r w:rsidR="00824CAE"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/náhradníka člena komise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8604BA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8604BA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611469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5878BE" w:rsidRPr="00611469" w:rsidRDefault="00824CAE" w:rsidP="008604BA">
      <w:pPr>
        <w:pStyle w:val="Odstavecseseznamem"/>
        <w:numPr>
          <w:ilvl w:val="0"/>
          <w:numId w:val="12"/>
        </w:numPr>
        <w:spacing w:before="120" w:after="120" w:line="276" w:lineRule="auto"/>
        <w:ind w:left="426"/>
        <w:rPr>
          <w:rFonts w:ascii="Palatino Linotype" w:hAnsi="Palatino Linotype"/>
          <w:sz w:val="22"/>
          <w:szCs w:val="22"/>
        </w:rPr>
      </w:pPr>
      <w:r w:rsidRPr="00611469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sectPr w:rsidR="005878BE" w:rsidRPr="00611469" w:rsidSect="008604BA"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4BA" w:rsidRDefault="008604BA">
      <w:r>
        <w:separator/>
      </w:r>
    </w:p>
  </w:endnote>
  <w:endnote w:type="continuationSeparator" w:id="0">
    <w:p w:rsidR="008604BA" w:rsidRDefault="00860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4BA" w:rsidRDefault="008604BA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C65DE2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C65DE2" w:rsidRPr="00FC648C">
      <w:rPr>
        <w:rFonts w:ascii="Palatino Linotype" w:hAnsi="Palatino Linotype"/>
        <w:b/>
        <w:sz w:val="22"/>
      </w:rPr>
      <w:fldChar w:fldCharType="separate"/>
    </w:r>
    <w:r w:rsidR="00C6765F">
      <w:rPr>
        <w:rFonts w:ascii="Palatino Linotype" w:hAnsi="Palatino Linotype"/>
        <w:b/>
        <w:noProof/>
        <w:sz w:val="22"/>
      </w:rPr>
      <w:t>9</w:t>
    </w:r>
    <w:r w:rsidR="00C65DE2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C65DE2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C65DE2" w:rsidRPr="00FC648C">
      <w:rPr>
        <w:rFonts w:ascii="Palatino Linotype" w:hAnsi="Palatino Linotype"/>
        <w:b/>
        <w:sz w:val="22"/>
      </w:rPr>
      <w:fldChar w:fldCharType="separate"/>
    </w:r>
    <w:r w:rsidR="00C6765F">
      <w:rPr>
        <w:rFonts w:ascii="Palatino Linotype" w:hAnsi="Palatino Linotype"/>
        <w:b/>
        <w:noProof/>
        <w:sz w:val="22"/>
      </w:rPr>
      <w:t>9</w:t>
    </w:r>
    <w:r w:rsidR="00C65DE2" w:rsidRPr="00FC648C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477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604BA" w:rsidRPr="008604BA" w:rsidRDefault="008604BA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8604BA">
              <w:rPr>
                <w:rFonts w:ascii="Palatino Linotype" w:hAnsi="Palatino Linotype"/>
                <w:sz w:val="22"/>
              </w:rPr>
              <w:t xml:space="preserve">Stránka </w:t>
            </w:r>
            <w:r w:rsidR="00C65DE2" w:rsidRPr="008604BA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8604BA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C65DE2" w:rsidRPr="008604BA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6765F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C65DE2" w:rsidRPr="008604BA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8604BA">
              <w:rPr>
                <w:rFonts w:ascii="Palatino Linotype" w:hAnsi="Palatino Linotype"/>
                <w:sz w:val="22"/>
              </w:rPr>
              <w:t xml:space="preserve"> z </w:t>
            </w:r>
            <w:r w:rsidR="00C65DE2" w:rsidRPr="008604BA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8604BA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C65DE2" w:rsidRPr="008604BA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C6765F">
              <w:rPr>
                <w:rFonts w:ascii="Palatino Linotype" w:hAnsi="Palatino Linotype"/>
                <w:b/>
                <w:noProof/>
                <w:sz w:val="22"/>
              </w:rPr>
              <w:t>9</w:t>
            </w:r>
            <w:r w:rsidR="00C65DE2" w:rsidRPr="008604BA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4BA" w:rsidRDefault="008604BA">
      <w:r>
        <w:separator/>
      </w:r>
    </w:p>
  </w:footnote>
  <w:footnote w:type="continuationSeparator" w:id="0">
    <w:p w:rsidR="008604BA" w:rsidRDefault="00860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4BA" w:rsidRDefault="008604BA" w:rsidP="00651FB5">
    <w:pPr>
      <w:pStyle w:val="Zhlav"/>
      <w:jc w:val="center"/>
    </w:pPr>
    <w:r w:rsidRPr="008604BA">
      <w:rPr>
        <w:noProof/>
      </w:rPr>
      <w:drawing>
        <wp:inline distT="0" distB="0" distL="0" distR="0">
          <wp:extent cx="800100" cy="790575"/>
          <wp:effectExtent l="19050" t="0" r="0" b="0"/>
          <wp:docPr id="2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04BA" w:rsidRDefault="008604BA" w:rsidP="00651FB5">
    <w:pPr>
      <w:pStyle w:val="Zhlav"/>
      <w:jc w:val="center"/>
    </w:pPr>
  </w:p>
  <w:p w:rsidR="008604BA" w:rsidRDefault="008604BA" w:rsidP="008604BA">
    <w:pPr>
      <w:pStyle w:val="Zhlav"/>
    </w:pPr>
    <w:r w:rsidRPr="001B4432">
      <w:rPr>
        <w:rFonts w:ascii="Palatino Linotype" w:hAnsi="Palatino Linotype"/>
        <w:b/>
        <w:sz w:val="22"/>
        <w:szCs w:val="22"/>
      </w:rPr>
      <w:t xml:space="preserve">Vzorový dokument č. 16 – </w:t>
    </w:r>
    <w:r w:rsidR="00F24103">
      <w:rPr>
        <w:rFonts w:ascii="Palatino Linotype" w:hAnsi="Palatino Linotype"/>
        <w:b/>
        <w:sz w:val="22"/>
        <w:szCs w:val="22"/>
      </w:rPr>
      <w:t>p</w:t>
    </w:r>
    <w:r w:rsidRPr="001B4432">
      <w:rPr>
        <w:rFonts w:ascii="Palatino Linotype" w:hAnsi="Palatino Linotype" w:cs="Calibri"/>
        <w:b/>
        <w:sz w:val="22"/>
        <w:szCs w:val="22"/>
      </w:rPr>
      <w:t>rotokol o jednání komise pro posouzení kvalifikace/hodnoticí komise</w:t>
    </w:r>
    <w:r w:rsidRPr="001B4432">
      <w:rPr>
        <w:rFonts w:ascii="Palatino Linotype" w:hAnsi="Palatino Linotype"/>
        <w:b/>
        <w:sz w:val="22"/>
        <w:szCs w:val="22"/>
      </w:rPr>
      <w:t xml:space="preserve"> </w:t>
    </w:r>
    <w:r w:rsidRPr="001B443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1B4432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5F74CF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7252B4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9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9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7"/>
  </w:num>
  <w:num w:numId="18">
    <w:abstractNumId w:val="16"/>
  </w:num>
  <w:num w:numId="19">
    <w:abstractNumId w:val="0"/>
  </w:num>
  <w:num w:numId="20">
    <w:abstractNumId w:val="15"/>
  </w:num>
  <w:num w:numId="21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367BF"/>
    <w:rsid w:val="00055CB7"/>
    <w:rsid w:val="00062319"/>
    <w:rsid w:val="00066400"/>
    <w:rsid w:val="00071A60"/>
    <w:rsid w:val="00074997"/>
    <w:rsid w:val="00093D7C"/>
    <w:rsid w:val="000A040C"/>
    <w:rsid w:val="000A14FD"/>
    <w:rsid w:val="000B674F"/>
    <w:rsid w:val="000E1EFD"/>
    <w:rsid w:val="00103CC1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920AA"/>
    <w:rsid w:val="00193D2D"/>
    <w:rsid w:val="001A5AA7"/>
    <w:rsid w:val="001B4432"/>
    <w:rsid w:val="001B504F"/>
    <w:rsid w:val="001C26D8"/>
    <w:rsid w:val="001C50BE"/>
    <w:rsid w:val="001D0A66"/>
    <w:rsid w:val="001D4E49"/>
    <w:rsid w:val="001D54ED"/>
    <w:rsid w:val="001E2502"/>
    <w:rsid w:val="001E4459"/>
    <w:rsid w:val="00205910"/>
    <w:rsid w:val="00213A90"/>
    <w:rsid w:val="0021497B"/>
    <w:rsid w:val="00217644"/>
    <w:rsid w:val="00223DFA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413C"/>
    <w:rsid w:val="0028627C"/>
    <w:rsid w:val="00294592"/>
    <w:rsid w:val="002A0732"/>
    <w:rsid w:val="002B07D2"/>
    <w:rsid w:val="002B4C69"/>
    <w:rsid w:val="002C5277"/>
    <w:rsid w:val="002D0E5D"/>
    <w:rsid w:val="002D0F44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736B6"/>
    <w:rsid w:val="00383877"/>
    <w:rsid w:val="00384BC0"/>
    <w:rsid w:val="00387F02"/>
    <w:rsid w:val="00387FC1"/>
    <w:rsid w:val="00394B03"/>
    <w:rsid w:val="0039585D"/>
    <w:rsid w:val="003A1418"/>
    <w:rsid w:val="003C6CD8"/>
    <w:rsid w:val="003E1C6C"/>
    <w:rsid w:val="003E2BDE"/>
    <w:rsid w:val="003E5085"/>
    <w:rsid w:val="003F2F2E"/>
    <w:rsid w:val="00413ED2"/>
    <w:rsid w:val="00424331"/>
    <w:rsid w:val="004309A8"/>
    <w:rsid w:val="00436064"/>
    <w:rsid w:val="0043670C"/>
    <w:rsid w:val="00442FC8"/>
    <w:rsid w:val="00446EC3"/>
    <w:rsid w:val="00451C8F"/>
    <w:rsid w:val="00453253"/>
    <w:rsid w:val="00455B79"/>
    <w:rsid w:val="00460AD9"/>
    <w:rsid w:val="0046306E"/>
    <w:rsid w:val="00463C5A"/>
    <w:rsid w:val="00465925"/>
    <w:rsid w:val="00471B7E"/>
    <w:rsid w:val="00484BE2"/>
    <w:rsid w:val="004850CD"/>
    <w:rsid w:val="004A7010"/>
    <w:rsid w:val="004B60C0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D4C13"/>
    <w:rsid w:val="005E4EDD"/>
    <w:rsid w:val="005E7A6F"/>
    <w:rsid w:val="005F69F2"/>
    <w:rsid w:val="0060348C"/>
    <w:rsid w:val="00611469"/>
    <w:rsid w:val="00633429"/>
    <w:rsid w:val="00634C65"/>
    <w:rsid w:val="0063624A"/>
    <w:rsid w:val="00637172"/>
    <w:rsid w:val="00643C5F"/>
    <w:rsid w:val="00645E26"/>
    <w:rsid w:val="00650A3E"/>
    <w:rsid w:val="00651595"/>
    <w:rsid w:val="00651FB5"/>
    <w:rsid w:val="00655527"/>
    <w:rsid w:val="006B4BF4"/>
    <w:rsid w:val="006C0EF0"/>
    <w:rsid w:val="006C2F6B"/>
    <w:rsid w:val="006F7256"/>
    <w:rsid w:val="007014DE"/>
    <w:rsid w:val="0071367F"/>
    <w:rsid w:val="00722B68"/>
    <w:rsid w:val="00731336"/>
    <w:rsid w:val="007377C1"/>
    <w:rsid w:val="0074176F"/>
    <w:rsid w:val="00747F5F"/>
    <w:rsid w:val="00752E33"/>
    <w:rsid w:val="00763E77"/>
    <w:rsid w:val="0077470E"/>
    <w:rsid w:val="00781384"/>
    <w:rsid w:val="00781ABD"/>
    <w:rsid w:val="007933B1"/>
    <w:rsid w:val="007939EB"/>
    <w:rsid w:val="007A3ADB"/>
    <w:rsid w:val="007A6DBD"/>
    <w:rsid w:val="007B0E07"/>
    <w:rsid w:val="007C2FE6"/>
    <w:rsid w:val="007C4BB3"/>
    <w:rsid w:val="007C7C4A"/>
    <w:rsid w:val="007D298E"/>
    <w:rsid w:val="007E1819"/>
    <w:rsid w:val="007E2E1E"/>
    <w:rsid w:val="007E456B"/>
    <w:rsid w:val="007F096B"/>
    <w:rsid w:val="007F21FF"/>
    <w:rsid w:val="007F3E7D"/>
    <w:rsid w:val="007F58E2"/>
    <w:rsid w:val="00804F6C"/>
    <w:rsid w:val="00821C42"/>
    <w:rsid w:val="00824CAE"/>
    <w:rsid w:val="00825E44"/>
    <w:rsid w:val="008263DB"/>
    <w:rsid w:val="0083673E"/>
    <w:rsid w:val="00852725"/>
    <w:rsid w:val="008604BA"/>
    <w:rsid w:val="00867660"/>
    <w:rsid w:val="00871F5E"/>
    <w:rsid w:val="00875756"/>
    <w:rsid w:val="00875BFD"/>
    <w:rsid w:val="00881DBF"/>
    <w:rsid w:val="00892D10"/>
    <w:rsid w:val="00894F37"/>
    <w:rsid w:val="008A6505"/>
    <w:rsid w:val="008D6E2C"/>
    <w:rsid w:val="008E620B"/>
    <w:rsid w:val="008F25BA"/>
    <w:rsid w:val="009063CC"/>
    <w:rsid w:val="00916825"/>
    <w:rsid w:val="00956706"/>
    <w:rsid w:val="0096530D"/>
    <w:rsid w:val="009656FA"/>
    <w:rsid w:val="00974613"/>
    <w:rsid w:val="00976D23"/>
    <w:rsid w:val="00983184"/>
    <w:rsid w:val="0099630B"/>
    <w:rsid w:val="0099772A"/>
    <w:rsid w:val="009C386F"/>
    <w:rsid w:val="009C6B64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53BC9"/>
    <w:rsid w:val="00A62623"/>
    <w:rsid w:val="00A71E7D"/>
    <w:rsid w:val="00A75E98"/>
    <w:rsid w:val="00A852C5"/>
    <w:rsid w:val="00A8663E"/>
    <w:rsid w:val="00A8751C"/>
    <w:rsid w:val="00A90E35"/>
    <w:rsid w:val="00AA4294"/>
    <w:rsid w:val="00AA52E8"/>
    <w:rsid w:val="00AB5995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0E10"/>
    <w:rsid w:val="00B61739"/>
    <w:rsid w:val="00B6315F"/>
    <w:rsid w:val="00B66775"/>
    <w:rsid w:val="00B901DF"/>
    <w:rsid w:val="00BA6E71"/>
    <w:rsid w:val="00BB60AA"/>
    <w:rsid w:val="00BC546C"/>
    <w:rsid w:val="00BD3B27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2280"/>
    <w:rsid w:val="00C43CF8"/>
    <w:rsid w:val="00C56714"/>
    <w:rsid w:val="00C65DE2"/>
    <w:rsid w:val="00C6765F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22BC6"/>
    <w:rsid w:val="00D247DF"/>
    <w:rsid w:val="00D33167"/>
    <w:rsid w:val="00D422DE"/>
    <w:rsid w:val="00D60154"/>
    <w:rsid w:val="00D62C6D"/>
    <w:rsid w:val="00D6719D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2E5"/>
    <w:rsid w:val="00DF6F6A"/>
    <w:rsid w:val="00E16BBD"/>
    <w:rsid w:val="00E17FEC"/>
    <w:rsid w:val="00E24C4E"/>
    <w:rsid w:val="00E45392"/>
    <w:rsid w:val="00E56822"/>
    <w:rsid w:val="00E605A8"/>
    <w:rsid w:val="00E675EA"/>
    <w:rsid w:val="00E7219F"/>
    <w:rsid w:val="00E75D92"/>
    <w:rsid w:val="00E849A9"/>
    <w:rsid w:val="00E869A7"/>
    <w:rsid w:val="00EA784E"/>
    <w:rsid w:val="00EB3820"/>
    <w:rsid w:val="00EC084F"/>
    <w:rsid w:val="00ED1E8C"/>
    <w:rsid w:val="00ED256E"/>
    <w:rsid w:val="00EE2412"/>
    <w:rsid w:val="00EE2D04"/>
    <w:rsid w:val="00F04EA0"/>
    <w:rsid w:val="00F24103"/>
    <w:rsid w:val="00F35216"/>
    <w:rsid w:val="00F47F01"/>
    <w:rsid w:val="00F56288"/>
    <w:rsid w:val="00F82E64"/>
    <w:rsid w:val="00F914EB"/>
    <w:rsid w:val="00F94B0C"/>
    <w:rsid w:val="00F95F5F"/>
    <w:rsid w:val="00F962E2"/>
    <w:rsid w:val="00FA3060"/>
    <w:rsid w:val="00FA491E"/>
    <w:rsid w:val="00FC0DAF"/>
    <w:rsid w:val="00FC2AC0"/>
    <w:rsid w:val="00FC648C"/>
    <w:rsid w:val="00FD2047"/>
    <w:rsid w:val="00FE328F"/>
    <w:rsid w:val="00FE3D22"/>
    <w:rsid w:val="00FE6D10"/>
    <w:rsid w:val="00FE70F9"/>
    <w:rsid w:val="00FE7A4D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aliases w:val="záhlaví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27B9A-FF24-47C6-A9C9-98F88FB4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1349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2016-10-17T11:59:00Z</dcterms:created>
  <dcterms:modified xsi:type="dcterms:W3CDTF">2016-10-25T08:47:00Z</dcterms:modified>
</cp:coreProperties>
</file>