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B684" w14:textId="38D19DCB" w:rsidR="00ED1954" w:rsidRDefault="008404B1">
      <w:r>
        <w:t xml:space="preserve">Povinnost MČ získat předchozí souhlas Rady HMP je stanovena ve Statutu hl. m. Prahy; konkrétně se v § 9 odst. 3 vyhlášky, kterou se Statut vydává, stanoví: „Dotace ze státního rozpočtu nebo jiného účelového fondu určená městské části nebo jí zřízené příspěvkové organizaci je poskytována hlavnímu městu Praze. Hlavní město Praha dotaci poskytne po jejím obdržení městské části nebo jejím prostřednictvím jí zřízené příspěvkové organizaci, pro kterou je určena. </w:t>
      </w:r>
      <w:r>
        <w:rPr>
          <w:b/>
          <w:bCs/>
        </w:rPr>
        <w:t>Městská část může o dotaci požádat přímo s předchozím písemným souhlasem Rady hlavního města Prahy. Podmínkou pro udělení souhlasu je prohlášení městské části, že nemá závazky po lhůtě splatnosti a výdaje na spolufinancování akce jsou v souladu s rozpočtem městské části, pokud se jedná o dotaci na akci realizovanou v daném roce, nebo že disponuje (má zajištěny) dostatečnými finančními zdroji na spolufinancování akce s realizací v následujících letech. Prohlášení přikládá městská část k žádosti o udělení předchozího písemného souhlasu.</w:t>
      </w:r>
      <w:r>
        <w:t>“</w:t>
      </w:r>
    </w:p>
    <w:sectPr w:rsidR="00ED19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89"/>
    <w:rsid w:val="008404B1"/>
    <w:rsid w:val="00A73C89"/>
    <w:rsid w:val="00ED1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550288-AA00-459C-A84B-0D2EAE8D2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Words>
  <Characters>858</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Špačková Karolina (MHMP, FON)</dc:creator>
  <cp:keywords/>
  <dc:description/>
  <cp:lastModifiedBy>Špačková Karolina (MHMP, FON)</cp:lastModifiedBy>
  <cp:revision>2</cp:revision>
  <dcterms:created xsi:type="dcterms:W3CDTF">2024-07-09T07:12:00Z</dcterms:created>
  <dcterms:modified xsi:type="dcterms:W3CDTF">2024-07-09T07:13:00Z</dcterms:modified>
</cp:coreProperties>
</file>